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3F" w:rsidRDefault="00583F3F" w:rsidP="00583F3F">
      <w:pPr>
        <w:pStyle w:val="Bodytext20"/>
        <w:shd w:val="clear" w:color="auto" w:fill="auto"/>
        <w:spacing w:before="0" w:after="0" w:line="280" w:lineRule="exact"/>
        <w:ind w:firstLine="0"/>
        <w:jc w:val="right"/>
      </w:pPr>
      <w:r>
        <w:rPr>
          <w:rStyle w:val="Bodytext2Exact"/>
        </w:rPr>
        <w:t>Pacyna, 15 marca 2021 r.</w:t>
      </w:r>
    </w:p>
    <w:p w:rsidR="00583F3F" w:rsidRDefault="00583F3F" w:rsidP="00583F3F">
      <w:pPr>
        <w:pStyle w:val="Bodytext50"/>
        <w:shd w:val="clear" w:color="auto" w:fill="auto"/>
        <w:spacing w:line="160" w:lineRule="exact"/>
      </w:pPr>
    </w:p>
    <w:p w:rsidR="00583F3F" w:rsidRDefault="00583F3F" w:rsidP="00583F3F">
      <w:pPr>
        <w:pStyle w:val="Bodytext40"/>
        <w:shd w:val="clear" w:color="auto" w:fill="auto"/>
        <w:spacing w:after="278" w:line="178" w:lineRule="exact"/>
      </w:pPr>
      <w:r>
        <w:rPr>
          <w:noProof/>
          <w:lang w:eastAsia="pl-PL"/>
        </w:rPr>
        <mc:AlternateContent>
          <mc:Choice Requires="wps">
            <w:drawing>
              <wp:anchor distT="497840" distB="0" distL="63500" distR="524510" simplePos="0" relativeHeight="251659264" behindDoc="1" locked="0" layoutInCell="1" allowOverlap="1" wp14:anchorId="497A74CA" wp14:editId="79DF4970">
                <wp:simplePos x="0" y="0"/>
                <wp:positionH relativeFrom="margin">
                  <wp:posOffset>635</wp:posOffset>
                </wp:positionH>
                <wp:positionV relativeFrom="paragraph">
                  <wp:posOffset>196215</wp:posOffset>
                </wp:positionV>
                <wp:extent cx="1203960" cy="177800"/>
                <wp:effectExtent l="0" t="381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3F" w:rsidRDefault="00583F3F" w:rsidP="00583F3F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OrA.2635.4.2021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7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5.45pt;width:94.8pt;height:14pt;z-index:-251657216;visibility:visible;mso-wrap-style:square;mso-width-percent:0;mso-height-percent:0;mso-wrap-distance-left:5pt;mso-wrap-distance-top:39.2pt;mso-wrap-distance-right:4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tA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" filled="f" stroked="f">
                <v:textbox style="mso-fit-shape-to-text:t" inset="0,0,0,0">
                  <w:txbxContent>
                    <w:p w:rsidR="00583F3F" w:rsidRDefault="00583F3F" w:rsidP="00583F3F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OrA.2635.4.2021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583F3F" w:rsidRDefault="00583F3F" w:rsidP="00583F3F">
      <w:pPr>
        <w:pStyle w:val="Bodytext20"/>
        <w:shd w:val="clear" w:color="auto" w:fill="auto"/>
        <w:spacing w:before="0" w:after="0" w:line="280" w:lineRule="exact"/>
        <w:ind w:left="120" w:firstLine="0"/>
      </w:pPr>
    </w:p>
    <w:p w:rsidR="00583F3F" w:rsidRDefault="00583F3F" w:rsidP="00583F3F">
      <w:pPr>
        <w:pStyle w:val="Bodytext20"/>
        <w:shd w:val="clear" w:color="auto" w:fill="auto"/>
        <w:spacing w:before="0" w:after="0" w:line="280" w:lineRule="exact"/>
        <w:ind w:left="120" w:firstLine="0"/>
      </w:pPr>
    </w:p>
    <w:p w:rsidR="00583F3F" w:rsidRDefault="00583F3F" w:rsidP="00583F3F">
      <w:pPr>
        <w:pStyle w:val="Bodytext20"/>
        <w:shd w:val="clear" w:color="auto" w:fill="auto"/>
        <w:spacing w:before="0" w:after="0" w:line="280" w:lineRule="exact"/>
        <w:ind w:left="120" w:firstLine="0"/>
      </w:pPr>
      <w:r>
        <w:t>ZAPYTANIE CENOWE</w:t>
      </w:r>
      <w:r>
        <w:br/>
        <w:t>dla zamówienia publicznego o wartości nieprzekraczającej wyrażonej w złotych</w:t>
      </w:r>
      <w:r>
        <w:br/>
        <w:t>równowartości kwoty określonej w art. 4 pkt 8 ustawy - Prawo zamówień</w:t>
      </w:r>
    </w:p>
    <w:p w:rsidR="00583F3F" w:rsidRDefault="00583F3F" w:rsidP="00583F3F">
      <w:pPr>
        <w:pStyle w:val="Bodytext20"/>
        <w:shd w:val="clear" w:color="auto" w:fill="auto"/>
        <w:spacing w:before="0" w:after="206" w:line="312" w:lineRule="exact"/>
        <w:ind w:left="120" w:firstLine="0"/>
      </w:pPr>
      <w:proofErr w:type="gramStart"/>
      <w:r>
        <w:t>publicznych</w:t>
      </w:r>
      <w:proofErr w:type="gramEnd"/>
    </w:p>
    <w:p w:rsidR="00583F3F" w:rsidRDefault="00583F3F" w:rsidP="00583F3F">
      <w:pPr>
        <w:pStyle w:val="Bodytext20"/>
        <w:shd w:val="clear" w:color="auto" w:fill="auto"/>
        <w:spacing w:before="0" w:after="248" w:line="280" w:lineRule="exact"/>
        <w:ind w:firstLine="0"/>
        <w:jc w:val="left"/>
      </w:pPr>
      <w:r>
        <w:t>Zamawiający:</w:t>
      </w:r>
    </w:p>
    <w:p w:rsidR="00583F3F" w:rsidRDefault="00583F3F" w:rsidP="00583F3F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r>
        <w:t>Wójt Gminy Pacyna - zaprasza do złożenia ofert na: „Dostarczenie i wdrożenie</w:t>
      </w:r>
    </w:p>
    <w:p w:rsidR="00583F3F" w:rsidRDefault="00583F3F" w:rsidP="00583F3F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proofErr w:type="gramStart"/>
      <w:r>
        <w:t>systemów</w:t>
      </w:r>
      <w:proofErr w:type="gramEnd"/>
      <w:r>
        <w:t xml:space="preserve"> informatycznych na po</w:t>
      </w:r>
      <w:r w:rsidR="00BA67CC">
        <w:t xml:space="preserve">trzeby Referatu Finansowego </w:t>
      </w:r>
      <w:r w:rsidR="009D2EA6">
        <w:t xml:space="preserve">Urzędu </w:t>
      </w:r>
      <w:r>
        <w:t>Gminy</w:t>
      </w:r>
    </w:p>
    <w:p w:rsidR="00583F3F" w:rsidRDefault="009D2EA6" w:rsidP="00583F3F">
      <w:pPr>
        <w:pStyle w:val="Bodytext20"/>
        <w:shd w:val="clear" w:color="auto" w:fill="auto"/>
        <w:spacing w:before="0" w:after="210" w:line="317" w:lineRule="exact"/>
        <w:ind w:firstLine="0"/>
        <w:jc w:val="left"/>
      </w:pPr>
      <w:proofErr w:type="gramStart"/>
      <w:r>
        <w:t>w</w:t>
      </w:r>
      <w:proofErr w:type="gramEnd"/>
      <w:r>
        <w:t xml:space="preserve"> Pacynie</w:t>
      </w:r>
      <w:r w:rsidR="00583F3F">
        <w:t>.”</w:t>
      </w:r>
    </w:p>
    <w:p w:rsidR="00583F3F" w:rsidRDefault="00583F3F" w:rsidP="00583F3F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48" w:line="280" w:lineRule="exact"/>
        <w:ind w:firstLine="0"/>
        <w:jc w:val="both"/>
      </w:pPr>
      <w:r>
        <w:t>Przedmiot zamówienia: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r>
        <w:t>Dostarczenie, szkolenie oraz wdrożenie systemu informatycznego do rozliczania czynszów od lokali;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r>
        <w:t>Dostarczenie, szkolenie oraz wdrożenie systemu informatycznego do naliczania podatkó</w:t>
      </w:r>
      <w:r>
        <w:fldChar w:fldCharType="begin"/>
      </w:r>
      <w:r>
        <w:instrText xml:space="preserve"> LISTNUM </w:instrText>
      </w:r>
      <w:r>
        <w:fldChar w:fldCharType="end"/>
      </w:r>
      <w:r>
        <w:t>w od środków transportu. ;</w:t>
      </w:r>
    </w:p>
    <w:p w:rsidR="00583F3F" w:rsidRDefault="00583F3F" w:rsidP="00583F3F">
      <w:pPr>
        <w:pStyle w:val="Bodytext20"/>
        <w:shd w:val="clear" w:color="auto" w:fill="auto"/>
        <w:tabs>
          <w:tab w:val="left" w:pos="1860"/>
        </w:tabs>
        <w:spacing w:before="0" w:after="0" w:line="317" w:lineRule="exact"/>
        <w:ind w:left="1120" w:firstLine="0"/>
        <w:jc w:val="left"/>
      </w:pPr>
    </w:p>
    <w:p w:rsidR="00583F3F" w:rsidRDefault="00583F3F" w:rsidP="00583F3F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17" w:lineRule="exact"/>
        <w:ind w:firstLine="0"/>
        <w:jc w:val="both"/>
      </w:pPr>
      <w:r>
        <w:t>System musi spełniać następujące wymagania:</w:t>
      </w:r>
    </w:p>
    <w:p w:rsidR="00583F3F" w:rsidRPr="00CB0E8B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both"/>
      </w:pPr>
      <w:proofErr w:type="gramStart"/>
      <w:r w:rsidRPr="00CB0E8B">
        <w:t>oprogramowanie</w:t>
      </w:r>
      <w:proofErr w:type="gramEnd"/>
      <w:r w:rsidRPr="00CB0E8B">
        <w:t xml:space="preserve"> musi spełniać wszystkie niezbędne wymogi prawne, szczególnie:</w:t>
      </w:r>
    </w:p>
    <w:p w:rsidR="00583F3F" w:rsidRPr="00CB0E8B" w:rsidRDefault="00583F3F" w:rsidP="00583F3F">
      <w:pPr>
        <w:pStyle w:val="Bodytext20"/>
        <w:numPr>
          <w:ilvl w:val="0"/>
          <w:numId w:val="2"/>
        </w:numPr>
        <w:shd w:val="clear" w:color="auto" w:fill="auto"/>
        <w:tabs>
          <w:tab w:val="left" w:pos="1860"/>
        </w:tabs>
        <w:spacing w:before="0" w:after="0" w:line="317" w:lineRule="exact"/>
        <w:jc w:val="both"/>
      </w:pPr>
      <w:proofErr w:type="gramStart"/>
      <w:r w:rsidRPr="00CB0E8B">
        <w:t>rozporządzenia</w:t>
      </w:r>
      <w:proofErr w:type="gramEnd"/>
      <w:r w:rsidRPr="00CB0E8B">
        <w:t xml:space="preserve"> Mini</w:t>
      </w:r>
      <w:r w:rsidR="009D2EA6">
        <w:t>stra Finansów z dnia 5 lipca 201</w:t>
      </w:r>
      <w:r w:rsidRPr="00CB0E8B">
        <w:t>0 r., w sprawie szczególnych zasad rachunkowości oraz planów kont dla budżetu państwa, budżetów jednostek samorządu terytorialnego, jednostek budżetowych, samorządowych zakładów budżetowych, państwowych funduszy celowyc</w:t>
      </w:r>
      <w:r>
        <w:t xml:space="preserve">h oraz </w:t>
      </w:r>
      <w:r w:rsidRPr="00CB0E8B">
        <w:t xml:space="preserve">państwowych jednostek budżetowych </w:t>
      </w:r>
      <w:r>
        <w:t>mających siedzibę poza g</w:t>
      </w:r>
      <w:r w:rsidRPr="00CB0E8B">
        <w:t>ranicami Rzeczypospolitej Polskiej</w:t>
      </w:r>
      <w:r>
        <w:t xml:space="preserve"> </w:t>
      </w:r>
    </w:p>
    <w:p w:rsidR="00583F3F" w:rsidRPr="00CB0E8B" w:rsidRDefault="00583F3F" w:rsidP="00583F3F">
      <w:pPr>
        <w:pStyle w:val="Bodytext20"/>
        <w:numPr>
          <w:ilvl w:val="0"/>
          <w:numId w:val="2"/>
        </w:numPr>
        <w:shd w:val="clear" w:color="auto" w:fill="auto"/>
        <w:tabs>
          <w:tab w:val="left" w:pos="1860"/>
        </w:tabs>
        <w:spacing w:before="0" w:after="0" w:line="317" w:lineRule="exact"/>
        <w:jc w:val="both"/>
      </w:pPr>
      <w:proofErr w:type="gramStart"/>
      <w:r w:rsidRPr="00CB0E8B">
        <w:t>rozporządzenia</w:t>
      </w:r>
      <w:proofErr w:type="gramEnd"/>
      <w:r w:rsidRPr="00CB0E8B">
        <w:t xml:space="preserve"> Ministra Finansów z dnia 25 października 2010 r. w sprawie zasad rachunkowości oraz planów kont dla organów podatkowych jednostek samorządu terytorialnego.  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proofErr w:type="gramStart"/>
      <w:r>
        <w:t>oprogramowanie</w:t>
      </w:r>
      <w:proofErr w:type="gramEnd"/>
      <w:r>
        <w:t xml:space="preserve"> musi podlegać ciągłemu rozwojowi, tak aby w przypadku zmiany przepisów prawa zostało do nich dostosowane;</w:t>
      </w:r>
    </w:p>
    <w:p w:rsidR="00583F3F" w:rsidRDefault="00583F3F" w:rsidP="00583F3F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317" w:lineRule="exact"/>
        <w:ind w:firstLine="0"/>
        <w:jc w:val="both"/>
      </w:pPr>
      <w:r>
        <w:t>Dodatkowe informacje: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proofErr w:type="gramStart"/>
      <w:r>
        <w:t>każdy</w:t>
      </w:r>
      <w:proofErr w:type="gramEnd"/>
      <w:r>
        <w:t xml:space="preserve"> oferent przed złożeniem oferty musi dokonać prezentacji proponowanego rozwiązania (dopuszczalna jest prezentacji w formie wideokonferencji);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both"/>
      </w:pPr>
      <w:proofErr w:type="gramStart"/>
      <w:r>
        <w:t>każdy</w:t>
      </w:r>
      <w:proofErr w:type="gramEnd"/>
      <w:r>
        <w:t xml:space="preserve"> oferent składa jedną ofertę;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both"/>
      </w:pPr>
      <w:proofErr w:type="gramStart"/>
      <w:r>
        <w:t>każdy</w:t>
      </w:r>
      <w:proofErr w:type="gramEnd"/>
      <w:r>
        <w:t xml:space="preserve"> oferent przed wyceną konsultuje się z Urzędem i dokonuje </w:t>
      </w:r>
      <w:r>
        <w:lastRenderedPageBreak/>
        <w:t>ewentualnej wyceny zakupu i dostarczenia niezbędnego sprzętu koniecznego do uruchomienia zaproponowanego rozwiązania (jeżeli wdrożenie oprogramowania nie może zostać wykonane na sprzęcie będącym w posiadaniu zamawiającego);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proofErr w:type="gramStart"/>
      <w:r>
        <w:t>oferta</w:t>
      </w:r>
      <w:proofErr w:type="gramEnd"/>
      <w:r>
        <w:t xml:space="preserve"> musi zawierać ewentualne koszty licencyjne ponoszone w kolejnych latach użytkowania systemu informatycznego;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proofErr w:type="gramStart"/>
      <w:r>
        <w:t>zamawiający</w:t>
      </w:r>
      <w:proofErr w:type="gramEnd"/>
      <w:r>
        <w:t xml:space="preserve"> zastrzega sobie prawo unieważnienia zapytania bez podania przyczyny;</w:t>
      </w:r>
    </w:p>
    <w:p w:rsidR="00583F3F" w:rsidRDefault="00583F3F" w:rsidP="00583F3F">
      <w:pPr>
        <w:pStyle w:val="Bodytext20"/>
        <w:numPr>
          <w:ilvl w:val="1"/>
          <w:numId w:val="1"/>
        </w:numPr>
        <w:shd w:val="clear" w:color="auto" w:fill="auto"/>
        <w:tabs>
          <w:tab w:val="left" w:pos="1860"/>
        </w:tabs>
        <w:spacing w:before="0" w:after="0" w:line="317" w:lineRule="exact"/>
        <w:ind w:left="1860"/>
        <w:jc w:val="left"/>
      </w:pPr>
      <w:proofErr w:type="gramStart"/>
      <w:r>
        <w:t>zamawiający</w:t>
      </w:r>
      <w:proofErr w:type="gramEnd"/>
      <w:r>
        <w:t xml:space="preserve"> nie dopuszcza składania ofert cząstkowych;</w:t>
      </w:r>
    </w:p>
    <w:p w:rsidR="00583F3F" w:rsidRDefault="00583F3F" w:rsidP="00583F3F">
      <w:pPr>
        <w:pStyle w:val="Bodytext20"/>
        <w:shd w:val="clear" w:color="auto" w:fill="auto"/>
        <w:tabs>
          <w:tab w:val="left" w:pos="1860"/>
        </w:tabs>
        <w:spacing w:before="0" w:after="0" w:line="317" w:lineRule="exact"/>
        <w:ind w:firstLine="0"/>
        <w:jc w:val="left"/>
      </w:pP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0" w:line="36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Wykonawca podejmując się zlecenia oświadcza, że spełnia następujące warunki: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60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posiada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uprawnienia do wykonywania określonej działalności lub czynności, jeżeli przepisy prawa nakładają obowiązek ich posiadania;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60" w:lineRule="exact"/>
        <w:ind w:left="1120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posiada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niezbędną wiedzę i doświadczenie;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60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dysponuje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odpowiednim potencjałem technicznym oraz osobami zdolnymi do wykonania zamówienia;</w:t>
      </w:r>
    </w:p>
    <w:p w:rsidR="00583F3F" w:rsidRPr="00583F3F" w:rsidRDefault="009D2EA6" w:rsidP="00583F3F">
      <w:pPr>
        <w:widowControl w:val="0"/>
        <w:numPr>
          <w:ilvl w:val="1"/>
          <w:numId w:val="1"/>
        </w:numPr>
        <w:tabs>
          <w:tab w:val="left" w:pos="1836"/>
        </w:tabs>
        <w:spacing w:after="342" w:line="360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>
        <w:rPr>
          <w:rFonts w:ascii="Garamond" w:eastAsia="Garamond" w:hAnsi="Garamond" w:cs="Garamond"/>
          <w:sz w:val="28"/>
          <w:szCs w:val="28"/>
          <w:lang w:eastAsia="pl-PL" w:bidi="pl-PL"/>
        </w:rPr>
        <w:t>n</w:t>
      </w:r>
      <w:r w:rsidR="00583F3F"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a</w:t>
      </w:r>
      <w:proofErr w:type="gramEnd"/>
      <w:r w:rsidR="00583F3F"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potwierdzenie powyższego Wykonawca dołączy do oferty oświadczenie stanowiące załącznik nr 2;</w:t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202" w:line="307" w:lineRule="exact"/>
        <w:ind w:left="420" w:hanging="420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Termin realizacji zamówienia: najpóźniej trzy tygodnie od daty złożenia zamówienia.</w:t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208" w:line="28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Okres gwarancji: minimum 24 miesięcy.</w:t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198" w:line="302" w:lineRule="exact"/>
        <w:ind w:left="420" w:hanging="420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Kryteria brane pod uwagę przy ocenie ofert zaproponowanego urządzenia (rozwiązania):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280" w:lineRule="exact"/>
        <w:ind w:left="1120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cena-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80%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512" w:line="280" w:lineRule="exact"/>
        <w:ind w:left="1120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funkcjonalność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- 20%</w:t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191" w:line="28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Warunki płatności: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wynagrodzenie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za przedmiot zamówienia będzie płatne przelewem na konto w terminie 14 dni od dnia otrzymania prawidłowo wystawionej faktury;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206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podstawą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do wystawienia faktury jest odebranie przedmiotu zamówienia zgodnego z przedłożoną ofertą, wolnego od wad fizycznych i prawnych.</w:t>
      </w:r>
      <w:r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  <w:r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  <w:r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  <w:r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375"/>
        </w:tabs>
        <w:spacing w:after="196" w:line="28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lastRenderedPageBreak/>
        <w:t>Sposób przygotowania oferty:</w:t>
      </w:r>
    </w:p>
    <w:p w:rsidR="00583F3F" w:rsidRPr="00583F3F" w:rsidRDefault="00583F3F" w:rsidP="009D2EA6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każdy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oferent przekłada tylko jedną ofertę w formie pisemnej na formularzu ofertowym stanowiącym załącznik nr 1 do niniejszego zapytania, w zamkniętej kopercie z opisem oferty: „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Dostarczenie i wdrożenie</w:t>
      </w:r>
      <w:r w:rsid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systemów informatycznych na po</w:t>
      </w:r>
      <w:r w:rsidR="00BA67CC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trzeby Referatu Finansowego 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Urzędu Gminy</w:t>
      </w:r>
      <w:r w:rsid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w Pacynie.</w:t>
      </w:r>
      <w:r w:rsidR="009D2EA6">
        <w:rPr>
          <w:rFonts w:ascii="Garamond" w:eastAsia="Garamond" w:hAnsi="Garamond" w:cs="Garamond"/>
          <w:sz w:val="28"/>
          <w:szCs w:val="28"/>
          <w:lang w:eastAsia="pl-PL" w:bidi="pl-PL"/>
        </w:rPr>
        <w:t>”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oferta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musi zawierać pełne dane techniczne proponowanych urządzeń (rozwiązania);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oferenci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ponoszą wszystkie koszty związane z przygotowaniem i złożeniem oferty;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840" w:hanging="720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oferta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musi być podpisana przez osobę upoważnioną do reprezentowania firmy, zgodnie z formą reprezentacji oferenta określoną w rejestrze handlowym lub innym dokumencie właściwym dla formy organizacji firmy oferenta;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120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wymagany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okres ważności oferty: 30 dni od daty jej złożenia;</w:t>
      </w:r>
    </w:p>
    <w:p w:rsidR="00583F3F" w:rsidRPr="00583F3F" w:rsidRDefault="00583F3F" w:rsidP="00583F3F">
      <w:pPr>
        <w:widowControl w:val="0"/>
        <w:numPr>
          <w:ilvl w:val="1"/>
          <w:numId w:val="1"/>
        </w:numPr>
        <w:tabs>
          <w:tab w:val="left" w:pos="1836"/>
        </w:tabs>
        <w:spacing w:after="0" w:line="312" w:lineRule="exact"/>
        <w:ind w:left="1120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proofErr w:type="gramStart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zapłata</w:t>
      </w:r>
      <w:proofErr w:type="gramEnd"/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zostanie dokonana w ciągu 14 dni od odbioru zamówienia.</w:t>
      </w: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br/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483"/>
        </w:tabs>
        <w:spacing w:after="196" w:line="28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Miejsce i termin złożenia oferty:</w:t>
      </w:r>
    </w:p>
    <w:p w:rsidR="00583F3F" w:rsidRPr="00583F3F" w:rsidRDefault="00583F3F" w:rsidP="00583F3F">
      <w:pPr>
        <w:widowControl w:val="0"/>
        <w:spacing w:after="0" w:line="312" w:lineRule="exact"/>
        <w:ind w:left="500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Urząd Gminy w Pacynie, ul. Wyzwolenia 7, 09-541 Pacyna, pokój nr 16, do dnia </w:t>
      </w:r>
      <w:r w:rsidRPr="00583F3F">
        <w:rPr>
          <w:rFonts w:ascii="Garamond" w:eastAsia="Garamond" w:hAnsi="Garamond" w:cs="Garamond"/>
          <w:b/>
          <w:bCs/>
          <w:color w:val="000000"/>
          <w:sz w:val="28"/>
          <w:szCs w:val="28"/>
          <w:u w:val="single"/>
          <w:shd w:val="clear" w:color="auto" w:fill="FFFFFF"/>
          <w:lang w:eastAsia="pl-PL" w:bidi="pl-PL"/>
        </w:rPr>
        <w:t>31 marca 2021 r. do godziny 12:00.</w:t>
      </w:r>
    </w:p>
    <w:p w:rsidR="00583F3F" w:rsidRPr="00583F3F" w:rsidRDefault="00583F3F" w:rsidP="00583F3F">
      <w:pPr>
        <w:widowControl w:val="0"/>
        <w:spacing w:after="206" w:line="312" w:lineRule="exact"/>
        <w:ind w:left="500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W przypadku przesłania oferty za pośrednictwem poczty decyduje data wpływu oferty do Urzędu.</w:t>
      </w:r>
    </w:p>
    <w:p w:rsidR="00583F3F" w:rsidRPr="00583F3F" w:rsidRDefault="00583F3F" w:rsidP="00583F3F">
      <w:pPr>
        <w:keepNext/>
        <w:keepLines/>
        <w:widowControl w:val="0"/>
        <w:numPr>
          <w:ilvl w:val="0"/>
          <w:numId w:val="1"/>
        </w:numPr>
        <w:tabs>
          <w:tab w:val="left" w:pos="478"/>
        </w:tabs>
        <w:spacing w:after="183" w:line="280" w:lineRule="exact"/>
        <w:jc w:val="both"/>
        <w:outlineLvl w:val="0"/>
        <w:rPr>
          <w:rFonts w:ascii="Garamond" w:eastAsia="Garamond" w:hAnsi="Garamond" w:cs="Garamond"/>
          <w:b/>
          <w:bCs/>
          <w:sz w:val="28"/>
          <w:szCs w:val="28"/>
          <w:lang w:eastAsia="pl-PL" w:bidi="pl-PL"/>
        </w:rPr>
      </w:pPr>
      <w:bookmarkStart w:id="0" w:name="bookmark0"/>
      <w:r w:rsidRPr="00583F3F">
        <w:rPr>
          <w:rFonts w:ascii="Garamond" w:eastAsia="Garamond" w:hAnsi="Garamond" w:cs="Garamond"/>
          <w:color w:val="000000"/>
          <w:sz w:val="28"/>
          <w:szCs w:val="28"/>
          <w:shd w:val="clear" w:color="auto" w:fill="FFFFFF"/>
          <w:lang w:eastAsia="pl-PL" w:bidi="pl-PL"/>
        </w:rPr>
        <w:t xml:space="preserve">Termin otwarcia ofert: </w:t>
      </w:r>
      <w:r w:rsidRPr="00583F3F">
        <w:rPr>
          <w:rFonts w:ascii="Garamond" w:eastAsia="Garamond" w:hAnsi="Garamond" w:cs="Garamond"/>
          <w:b/>
          <w:bCs/>
          <w:sz w:val="28"/>
          <w:szCs w:val="28"/>
          <w:lang w:eastAsia="pl-PL" w:bidi="pl-PL"/>
        </w:rPr>
        <w:t>31 marca 2021 r., godzina 13:00.</w:t>
      </w:r>
      <w:bookmarkEnd w:id="0"/>
    </w:p>
    <w:p w:rsidR="009D2EA6" w:rsidRDefault="00583F3F" w:rsidP="009D2EA6">
      <w:pPr>
        <w:widowControl w:val="0"/>
        <w:numPr>
          <w:ilvl w:val="0"/>
          <w:numId w:val="1"/>
        </w:numPr>
        <w:tabs>
          <w:tab w:val="left" w:pos="483"/>
        </w:tabs>
        <w:spacing w:after="210" w:line="317" w:lineRule="exact"/>
        <w:ind w:left="500" w:hanging="500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Osoby upoważniona do kontaktu z wykonawcami: </w:t>
      </w:r>
    </w:p>
    <w:p w:rsidR="009D2EA6" w:rsidRDefault="00583F3F" w:rsidP="009D2EA6">
      <w:pPr>
        <w:pStyle w:val="Akapitzlist"/>
        <w:widowControl w:val="0"/>
        <w:numPr>
          <w:ilvl w:val="0"/>
          <w:numId w:val="3"/>
        </w:numPr>
        <w:tabs>
          <w:tab w:val="left" w:pos="483"/>
        </w:tabs>
        <w:spacing w:after="210" w:line="317" w:lineRule="exact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Informatyk Damian Busler, tel. 575898958, e-mail: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</w:t>
      </w:r>
      <w:hyperlink r:id="rId5" w:history="1">
        <w:r w:rsidRPr="009D2EA6">
          <w:rPr>
            <w:rFonts w:ascii="Garamond" w:eastAsia="Garamond" w:hAnsi="Garamond" w:cs="Garamond"/>
            <w:color w:val="0066CC"/>
            <w:sz w:val="28"/>
            <w:szCs w:val="28"/>
            <w:u w:val="single"/>
            <w:lang w:eastAsia="pl-PL" w:bidi="pl-PL"/>
          </w:rPr>
          <w:t>informatyk@pacy</w:t>
        </w:r>
        <w:r w:rsidRPr="009D2EA6">
          <w:rPr>
            <w:rFonts w:ascii="Garamond" w:eastAsia="Garamond" w:hAnsi="Garamond" w:cs="Garamond"/>
            <w:color w:val="0066CC"/>
            <w:sz w:val="28"/>
            <w:szCs w:val="28"/>
            <w:u w:val="single"/>
            <w:lang w:val="en-US" w:bidi="en-US"/>
          </w:rPr>
          <w:t>na.mazowsze.pl</w:t>
        </w:r>
      </w:hyperlink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– kontakt w sprawach technicznych.</w:t>
      </w:r>
    </w:p>
    <w:p w:rsidR="00583F3F" w:rsidRPr="009D2EA6" w:rsidRDefault="00583F3F" w:rsidP="009D2EA6">
      <w:pPr>
        <w:pStyle w:val="Akapitzlist"/>
        <w:widowControl w:val="0"/>
        <w:numPr>
          <w:ilvl w:val="0"/>
          <w:numId w:val="3"/>
        </w:numPr>
        <w:tabs>
          <w:tab w:val="left" w:pos="483"/>
        </w:tabs>
        <w:spacing w:after="210" w:line="317" w:lineRule="exact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Skarbnik Gminy Elżbieta Szymańska, </w:t>
      </w:r>
      <w:proofErr w:type="spellStart"/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>tel</w:t>
      </w:r>
      <w:proofErr w:type="spellEnd"/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509679814, e-mail:</w:t>
      </w:r>
      <w:r w:rsidR="009D2EA6"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</w:t>
      </w:r>
      <w:hyperlink r:id="rId6" w:history="1">
        <w:r w:rsidRPr="009D2EA6">
          <w:rPr>
            <w:rFonts w:ascii="Garamond" w:eastAsia="Garamond" w:hAnsi="Garamond" w:cs="Garamond"/>
            <w:color w:val="0066CC"/>
            <w:sz w:val="28"/>
            <w:szCs w:val="28"/>
            <w:u w:val="single"/>
            <w:lang w:eastAsia="pl-PL" w:bidi="pl-PL"/>
          </w:rPr>
          <w:t>skarbnik@pacyna.mazowsze.pl</w:t>
        </w:r>
      </w:hyperlink>
      <w:r w:rsidRPr="009D2EA6">
        <w:rPr>
          <w:rFonts w:ascii="Garamond" w:eastAsia="Garamond" w:hAnsi="Garamond" w:cs="Garamond"/>
          <w:sz w:val="28"/>
          <w:szCs w:val="28"/>
          <w:lang w:eastAsia="pl-PL" w:bidi="pl-PL"/>
        </w:rPr>
        <w:t xml:space="preserve"> – kontakt w sprawach merytorycznych.</w:t>
      </w:r>
    </w:p>
    <w:p w:rsidR="00583F3F" w:rsidRPr="00583F3F" w:rsidRDefault="00583F3F" w:rsidP="00583F3F">
      <w:pPr>
        <w:widowControl w:val="0"/>
        <w:numPr>
          <w:ilvl w:val="0"/>
          <w:numId w:val="1"/>
        </w:numPr>
        <w:tabs>
          <w:tab w:val="left" w:pos="488"/>
        </w:tabs>
        <w:spacing w:after="0" w:line="280" w:lineRule="exact"/>
        <w:jc w:val="both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583F3F">
        <w:rPr>
          <w:rFonts w:ascii="Garamond" w:eastAsia="Garamond" w:hAnsi="Garamond" w:cs="Garamond"/>
          <w:sz w:val="28"/>
          <w:szCs w:val="28"/>
          <w:lang w:eastAsia="pl-PL" w:bidi="pl-PL"/>
        </w:rPr>
        <w:t>Sposób przygotowania ofert: w formie pisemnej, w języku polskim.</w:t>
      </w:r>
    </w:p>
    <w:p w:rsidR="00C6749D" w:rsidRDefault="00C6749D" w:rsidP="00583F3F"/>
    <w:p w:rsidR="00C701F3" w:rsidRDefault="00C701F3" w:rsidP="00583F3F"/>
    <w:p w:rsidR="00C701F3" w:rsidRPr="00583F3F" w:rsidRDefault="00C701F3" w:rsidP="00C701F3">
      <w:pPr>
        <w:ind w:left="5664"/>
      </w:pPr>
      <w:r>
        <w:t>Z up. WÓJTA</w:t>
      </w:r>
      <w:r>
        <w:br/>
        <w:t xml:space="preserve">(-) </w:t>
      </w:r>
      <w:bookmarkStart w:id="1" w:name="_GoBack"/>
      <w:bookmarkEnd w:id="1"/>
      <w:r>
        <w:t>mgr Waldemar Jan Rachubiński</w:t>
      </w:r>
      <w:r>
        <w:br/>
        <w:t>Sekretarz Gminy</w:t>
      </w:r>
    </w:p>
    <w:sectPr w:rsidR="00C701F3" w:rsidRPr="0058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14F"/>
    <w:multiLevelType w:val="hybridMultilevel"/>
    <w:tmpl w:val="66843564"/>
    <w:lvl w:ilvl="0" w:tplc="0415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E4D69DF"/>
    <w:multiLevelType w:val="multilevel"/>
    <w:tmpl w:val="961AE60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center"/>
      <w:rPr>
        <w:rFonts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A812AB"/>
    <w:multiLevelType w:val="hybridMultilevel"/>
    <w:tmpl w:val="358831AA"/>
    <w:lvl w:ilvl="0" w:tplc="04150011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F"/>
    <w:rsid w:val="00583F3F"/>
    <w:rsid w:val="009D2EA6"/>
    <w:rsid w:val="00BA67CC"/>
    <w:rsid w:val="00C6749D"/>
    <w:rsid w:val="00C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05C"/>
  <w15:chartTrackingRefBased/>
  <w15:docId w15:val="{0F44F424-A268-4FA5-8CD5-C9A6CE2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rsid w:val="00583F3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sid w:val="00583F3F"/>
    <w:rPr>
      <w:rFonts w:ascii="Garamond" w:eastAsia="Garamond" w:hAnsi="Garamond" w:cs="Garamond"/>
      <w:b/>
      <w:bCs/>
      <w:sz w:val="17"/>
      <w:szCs w:val="17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583F3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83F3F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83F3F"/>
    <w:pPr>
      <w:widowControl w:val="0"/>
      <w:shd w:val="clear" w:color="auto" w:fill="FFFFFF"/>
      <w:spacing w:before="360" w:after="360" w:line="0" w:lineRule="atLeast"/>
      <w:ind w:hanging="740"/>
      <w:jc w:val="center"/>
    </w:pPr>
    <w:rPr>
      <w:rFonts w:ascii="Garamond" w:eastAsia="Garamond" w:hAnsi="Garamond" w:cs="Garamond"/>
      <w:sz w:val="28"/>
      <w:szCs w:val="28"/>
    </w:rPr>
  </w:style>
  <w:style w:type="paragraph" w:customStyle="1" w:styleId="Bodytext40">
    <w:name w:val="Body text (4)"/>
    <w:basedOn w:val="Normalny"/>
    <w:link w:val="Bodytext4"/>
    <w:rsid w:val="00583F3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Bodytext50">
    <w:name w:val="Body text (5)"/>
    <w:basedOn w:val="Normalny"/>
    <w:link w:val="Bodytext5"/>
    <w:rsid w:val="00583F3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@pacyna.mazowsze.pl" TargetMode="External"/><Relationship Id="rId5" Type="http://schemas.openxmlformats.org/officeDocument/2006/relationships/hyperlink" Target="mailto:informatyk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2021-03-15T13:59:00Z</cp:lastPrinted>
  <dcterms:created xsi:type="dcterms:W3CDTF">2021-03-15T13:11:00Z</dcterms:created>
  <dcterms:modified xsi:type="dcterms:W3CDTF">2021-03-15T14:19:00Z</dcterms:modified>
</cp:coreProperties>
</file>