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6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Informacja dodatkowa do sprawozdania finansowego Gminnego Ośrodka Pomocy Społecznej w Pacynie za 2021 rok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50" w:type="dxa"/>
        <w:jc w:val="left"/>
        <w:tblInd w:w="101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673"/>
        <w:gridCol w:w="9176"/>
      </w:tblGrid>
      <w:tr>
        <w:trPr>
          <w:trHeight w:val="397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72" w:after="160"/>
              <w:ind w:left="95" w:right="-20" w:hanging="0"/>
              <w:rPr>
                <w:rFonts w:ascii="Times New Roman" w:hAnsi="Times New Roman" w:cs="Times New Roman"/>
                <w:b/>
                <w:b/>
                <w:bCs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72" w:after="160"/>
              <w:ind w:left="95" w:right="-20" w:hanging="0"/>
              <w:rPr>
                <w:rFonts w:ascii="Times New Roman" w:hAnsi="Times New Roman" w:cs="Times New Roman"/>
                <w:b/>
                <w:b/>
                <w:bCs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>
        <w:trPr>
          <w:trHeight w:val="365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nazwę jednostki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360" w:before="0"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Gminny Ośrodek Pomocy Społecznej w Pacynie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siedzibę jednostki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Wyzwolenia 7, 09-541 Pacyna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adres jednostki</w:t>
            </w:r>
          </w:p>
        </w:tc>
      </w:tr>
      <w:tr>
        <w:trPr>
          <w:trHeight w:val="514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Wyzwolenia 7, 09-541 Pacyna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8532D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01.01.2021r. – 31.12.2021r.</w:t>
            </w:r>
          </w:p>
        </w:tc>
      </w:tr>
      <w:tr>
        <w:trPr>
          <w:trHeight w:val="58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wskazanie,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że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sprawozdanie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finansowe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zawiera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dane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łączne,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jeżeli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w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skład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jednostki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nadrzędnej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lub</w:t>
            </w:r>
            <w:r>
              <w:rPr>
                <w:rFonts w:cs="Times New Roman" w:ascii="Times New Roman" w:hAnsi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jednostki samorządu terytorialnego wchodzą jednostki sporządzające samodzielne sprawozdania finansowe</w:t>
            </w:r>
          </w:p>
        </w:tc>
      </w:tr>
      <w:tr>
        <w:trPr>
          <w:trHeight w:val="365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Sprawozdanie finansowe zawiera dane jednostki -  GOPS w Pacynie</w:t>
            </w:r>
          </w:p>
        </w:tc>
      </w:tr>
      <w:tr>
        <w:trPr>
          <w:trHeight w:val="58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color w:val="2E201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E2014"/>
                <w:sz w:val="20"/>
                <w:szCs w:val="20"/>
              </w:rPr>
              <w:t>4.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omówienie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przyjętych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zasad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(polityki)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rachunkowości Gminy Pacyna,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tym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metod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wyceny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aktywów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pasywów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(także amortyzacji)</w:t>
            </w:r>
          </w:p>
        </w:tc>
      </w:tr>
      <w:tr>
        <w:trPr>
          <w:trHeight w:val="11209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ind w:left="78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Aktywa i pasywa wyceniane są przy uwzględnieniu nadrzędnych zasad rachunkowości, w sposób przewidziany ustawą o rachunkowości - informacje wg. załącznika nr 1.</w:t>
            </w:r>
          </w:p>
          <w:p>
            <w:pPr>
              <w:pStyle w:val="Normal"/>
              <w:widowControl w:val="false"/>
              <w:ind w:left="78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stosowane w prowadzeniu ksiąg rachunkowych: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Środki trwałe oraz wartości niematerialne i prawne umarza się lub amortyzuje według stawek określonych w przepisach o podatku dochodowym od osób prawnych. Środki trwałe ujmuje się w ewidencji  na koncie 011 (środki trwałe), wartości niematerialne i prawne na koncie 020 (wartości niematerialne i prawne) oraz na koncie 071 (umorzenie środków trwałych oraz wartości niematerialnych i prawnych)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Odpisów umorzeniowych dokonuje się począwszy od miesiąca następującego po miesiącu przyjęcia środka trwałego lub wartości niematerialnej i prawnej do używania.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Zakończenie odpisów umorzeniowych następuje nie później niż z chwilą zrównania odpisów umorzeniowych z wartością początkową środka trwałego lub przeznaczenia go do likwidacji, sprzedaży lub stwierdzenia jego niedoboru.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Wartość początkowa środków trwałych i dotychczas dokonane odpisy umorzeniowe podlegają aktualizacji zgodnie z zasadami określonymi w odrębnych przepisach, a wyniki aktualizacji odnoszone są na fundusz.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Odpisy umorzeniowe środków trwałych oraz wartości niematerialnych i prawnych ujmuje się w księgach rachunkowych na koniec roku budżetowego pod datą 31 grudnia.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Jednorazowo, przez spisanie w koszty w miesiącu przyjęcia do używania, umarza się: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książki i inne zbiory biblioteczne,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87" w:right="0" w:hanging="3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środki dydaktyczne służące procesowi dydaktyczno-wychowawczemu realizowanemu w szkołach i placówkach oświatowych,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odzież i umundurowanie,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meble i dywany,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pozostałe środki trwałe (wyposażenie) oraz wartości niematerialne i prawne o wartości mieszczącej się według przepisów podatkowych o zaliczeniu przedmiotu do środka trwałego dla których odpisy amortyzacyjne są uznawane za koszty uzyskania przychodu w 100 % ich wartości w momencie oddania do używania,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pozostałe środki trwałe ujmowane się ewidencji na koncie 013 (pozostałe środki trwałe) i na koncie 072 (umorzenie pozostałych środków trwałych, wartości niematerialnych i prawnych oraz zbiorów bibliotecznych) w wartości początkowej, W bilansie pozostałe środki trwałe nie stanowią żadnej wartości, gdyż są jednorazowo spisywane w koszty (umarzane) w miesiącu przyjęcia ich do używania,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ewidencję ilościowo-wartościową prowadzi się dla następujących grup wyposażenia: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" w:leader="none"/>
              </w:tabs>
              <w:spacing w:lineRule="auto" w:line="240" w:before="0" w:after="0"/>
              <w:ind w:left="798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sprzęt komputerowy stanowiący pomoce dydaktyczne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" w:leader="none"/>
              </w:tabs>
              <w:spacing w:lineRule="auto" w:line="240" w:before="0" w:after="0"/>
              <w:ind w:left="798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pozostały sprzęt komputerowy o wartości niższej niż wartość decydująca wg. przepisów podatkowych o zaliczeniu przedmiotu do środka trwałego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" w:leader="none"/>
              </w:tabs>
              <w:spacing w:lineRule="auto" w:line="240" w:before="0" w:after="0"/>
              <w:ind w:left="798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 sprzęt audiowizualny, maszyny, aparaty, urządzenia oraz pozostały sprzęt techniczny i muzyczny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" w:leader="none"/>
              </w:tabs>
              <w:spacing w:lineRule="auto" w:line="240" w:before="0" w:after="0"/>
              <w:ind w:left="798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meble biurowe i szkolne,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1" w:leader="none"/>
              </w:tabs>
              <w:spacing w:lineRule="auto" w:line="240" w:before="0" w:after="0"/>
              <w:ind w:left="771" w:right="0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h)    pozostały sprzęt – wyposażenie podlega tylko ewidencji pozabilansowej ilościowej w księgach   założonych na poszczególne obiekty. Ewidencja ilościowa prowadzona jest dla następującego wyposażenia: drobne pomoce dydaktyczne, sprzęt biurowy i wyposażenie pomieszczeń np. kosze wieszaki.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umarza się gruntów oraz dóbr kultury.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Środki trwałe oraz wartości niematerialne i prawne amortyzuje się metodą liniową.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 dzień bilansowy środki trwałe (z wyjątkiem gruntów) wycenia się w wartości netto tj. z uwzględnieniem odpisów umorzeniowych ustalonych na dzień bilansowy.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6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Gospodarka materiałowa podlega ewidencji ilościowo-wartościowej i rozchód materiałów wycenia się przy zastosowaniu metody FIFO. Do materiałów objętych gospodarką magazynową zalicza się: opał na cele grzewcze oraz artykuły spożywcze na potrzeby stołówki. 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inne informacje</w:t>
            </w:r>
          </w:p>
        </w:tc>
      </w:tr>
      <w:tr>
        <w:trPr>
          <w:trHeight w:val="229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1" w:leader="none"/>
              </w:tabs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Inne istotne informacje w zakresie przyjętych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zasad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(polityki)</w:t>
            </w:r>
            <w:r>
              <w:rPr>
                <w:rFonts w:cs="Times New Roman"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rachunkowości.</w:t>
            </w:r>
          </w:p>
        </w:tc>
      </w:tr>
      <w:tr>
        <w:trPr>
          <w:trHeight w:val="397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72" w:after="160"/>
              <w:ind w:left="95" w:right="-20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72" w:after="160"/>
              <w:ind w:left="95" w:right="-20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Dodatkowe informacje i objaśnienia obejmują w szczególności: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37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szczegółowy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zakres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zmian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wartości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grup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rodzajowych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środków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trwałych,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wartości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nabycia,</w:t>
            </w: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rozchodu,</w:t>
            </w: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przemieszczenia</w:t>
            </w:r>
            <w:r>
              <w:rPr>
                <w:rFonts w:cs="Times New Roman"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wewnętrznego</w:t>
            </w: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oraz</w:t>
            </w: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stan</w:t>
            </w: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końcowy,</w:t>
            </w: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</w:t>
            </w:r>
            <w:r>
              <w:rPr>
                <w:rFonts w:cs="Times New Roman"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dla</w:t>
            </w: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majątku</w:t>
            </w:r>
            <w:r>
              <w:rPr>
                <w:rFonts w:cs="Times New Roman"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amortyzowanego</w:t>
            </w:r>
          </w:p>
          <w:p>
            <w:pPr>
              <w:pStyle w:val="Normal"/>
              <w:widowControl w:val="false"/>
              <w:spacing w:before="0" w:after="160"/>
              <w:ind w:left="95" w:right="1478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podobne przedstawienie stanów i tytułów zmian dotychczasowej amortyzacji lub umorzenia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2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aktualną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wartość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rynkową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środków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trwałych,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tym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dóbr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kultury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–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ile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jednostka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dysponuje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takimi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informacjami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Jednostka nie posiada aktualnej wartości rynkowej środków trwałych.</w:t>
            </w:r>
          </w:p>
        </w:tc>
      </w:tr>
      <w:tr>
        <w:trPr>
          <w:trHeight w:val="58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kwotę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dokonanych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trakcie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roku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obrotowego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odpisów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aktualizujących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wartość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aktywów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trwałych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odrębnie</w:t>
            </w: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Informację podaje Urząd Gminy Pacyna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wartość gruntów użytkowanych wieczyście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Informację podaje Urząd Gminy Pacyna</w:t>
            </w:r>
          </w:p>
        </w:tc>
      </w:tr>
      <w:tr>
        <w:trPr>
          <w:trHeight w:val="58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wartość</w:t>
            </w:r>
            <w:r>
              <w:rPr>
                <w:rFonts w:cs="Times New Roman"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nieamortyzowanych</w:t>
            </w:r>
            <w:r>
              <w:rPr>
                <w:rFonts w:cs="Times New Roman"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lub</w:t>
            </w:r>
            <w:r>
              <w:rPr>
                <w:rFonts w:cs="Times New Roman"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nieumarzanych</w:t>
            </w:r>
            <w:r>
              <w:rPr>
                <w:rFonts w:cs="Times New Roman" w:ascii="Times New Roman" w:hAnsi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przez</w:t>
            </w:r>
            <w:r>
              <w:rPr>
                <w:rFonts w:cs="Times New Roman" w:ascii="Times New Roman" w:hAnsi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jednostkę</w:t>
            </w:r>
            <w:r>
              <w:rPr>
                <w:rFonts w:cs="Times New Roman" w:ascii="Times New Roman" w:hAnsi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środków</w:t>
            </w:r>
            <w:r>
              <w:rPr>
                <w:rFonts w:cs="Times New Roman"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trwałych,</w:t>
            </w:r>
            <w:r>
              <w:rPr>
                <w:rFonts w:cs="Times New Roman" w:ascii="Times New Roman" w:hAnsi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używanych</w:t>
            </w:r>
            <w:r>
              <w:rPr>
                <w:rFonts w:cs="Times New Roman"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</w:t>
            </w:r>
            <w:r>
              <w:rPr>
                <w:rFonts w:cs="Times New Roman"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>
        <w:trPr>
          <w:trHeight w:val="325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3</w:t>
            </w:r>
          </w:p>
        </w:tc>
      </w:tr>
      <w:tr>
        <w:trPr>
          <w:trHeight w:val="58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liczbę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oraz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wartość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posiadanych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papierów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wartościowych,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tym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akcji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udziałów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oraz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dłużnych</w:t>
            </w:r>
            <w:r>
              <w:rPr>
                <w:rFonts w:cs="Times New Roman"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papierów wartościowych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Informację podaje Urząd Gminy Pacyna</w:t>
            </w:r>
          </w:p>
        </w:tc>
      </w:tr>
      <w:tr>
        <w:trPr>
          <w:trHeight w:val="82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dane o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odpisach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aktualizujących wartość należności, ze wskazaniem stanu na początek roku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>
        <w:trPr>
          <w:trHeight w:val="3912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4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 ewidencji odpisów aktualizujących należności, których spłata zostanie uznana za wątpliwą służy konto 290. Na koniec roku należności wątpliwe i naliczone odsetki od należności ujmuje się zapisem Wn konta „2” i Ma 720 i jeżeli utworzony zostanie odpis aktualizujący należności wątpliwych to operacja ta zostanie zapisana na stronie Ma konta 290 w korespondencji z kontem 761, będzie to zapis wtórny do wcześniejszego ujęcia odsetek i należności wątpliwych na koncie 720 w korespondencji z kontem 221.Tworzac odpisy aktualizujące należy kierować się zasadami określonymi w przepisach art. 35b ustawy o rachunkowości. Z przepisu art. 35b ust. 2 ustawy o rachunkowości wynika, że odpisy aktualizujące należności zalicza się odpowiednio do pozostałych kosztów operacyjnych lub finansowanych, zależnie od rodzaju należności, której odpis należy. Jeżeli zatem należność w momencie zarachowania zwiększyła przychody operacyjne to koszty odpisów aktualizujących należy zaliczyć do pozostałych kosztów operacyjnych konta 761 zgodnie z ustawową definicją pozostałych kosztów operacyjnych (art. 3 ust. 1 pkt. 32 uor). Jeżeli przypisane należności powodowało zwiększenie przychodów finansowych to koszty odpisów aktualizujących zwiększają koszty finansowe (konto 751). Odpisy aktualizujące należności zgodnie z ustawy o rachunkowości zmniejszają wartość aktywów a zatem winny być zaliczone do kosztów a nie na zmniejszenie przychodów.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8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dane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stanie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rezerw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według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celu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ich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utworzenia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początek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roku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obrotowego,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zwiększeniach,</w:t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wykorzystaniu, rozwiązaniu i stanie końcowym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Jednostka nie posiada rezerw na zobowiązania.</w:t>
            </w:r>
          </w:p>
        </w:tc>
      </w:tr>
      <w:tr>
        <w:trPr>
          <w:trHeight w:val="58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podział  </w:t>
            </w: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zobowiązań  </w:t>
            </w: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długoterminowych  </w:t>
            </w: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według  </w:t>
            </w: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pozycji  </w:t>
            </w: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bilansu  </w:t>
            </w: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  </w:t>
            </w: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pozostałym  </w:t>
            </w: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od  </w:t>
            </w: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dnia  </w:t>
            </w: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powyżej 1 roku do 3 lat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5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powyżej 3 do 5 lat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5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powyżej 5 lat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5</w:t>
            </w:r>
          </w:p>
        </w:tc>
      </w:tr>
      <w:tr>
        <w:trPr>
          <w:trHeight w:val="82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kwotę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zobowiązań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sytuacji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gdy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jednostka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kwalifikuje umowy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leasingu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zgodnie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przepisami podatkowymi (leasing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operacyjny),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według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przepisów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rachunkowości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byłby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to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leasing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finansowy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lub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zwrotny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</w:t>
            </w:r>
            <w:r>
              <w:rPr>
                <w:rFonts w:cs="Times New Roman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Informację podaje Urząd Gminy Pacyna</w:t>
            </w:r>
          </w:p>
        </w:tc>
      </w:tr>
      <w:tr>
        <w:trPr>
          <w:trHeight w:val="58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łączną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kwotę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zobowiązań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zabezpieczonych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majątku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jednostki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ze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wskazaniem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charakteru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formy</w:t>
            </w:r>
            <w:r>
              <w:rPr>
                <w:rFonts w:cs="Times New Roman"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tych zabezpieczeń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Informację podaje Urząd Gminy Pacyna</w:t>
            </w:r>
          </w:p>
        </w:tc>
      </w:tr>
      <w:tr>
        <w:trPr>
          <w:trHeight w:val="82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Informację podaje Urząd Gminy Pacyna</w:t>
            </w:r>
          </w:p>
        </w:tc>
      </w:tr>
      <w:tr>
        <w:trPr>
          <w:trHeight w:val="82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6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Informację podaje Urząd Gminy Pacyna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kwotę wypłaconych środków pieniężnych na świadczenia pracownicze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7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inne informacje</w:t>
            </w:r>
          </w:p>
        </w:tc>
      </w:tr>
      <w:tr>
        <w:trPr>
          <w:trHeight w:val="719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Wyłączenia z tytułu rozliczeń występujących na dzień 31.12.2021 roku pomiędzy jednostkami.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wystąpiły rozliczenia pomiędzy GOPS w Pacynie, a innymi jednostkami.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wysokość odpisów aktualizujących wartość zapasów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8</w:t>
            </w:r>
          </w:p>
        </w:tc>
      </w:tr>
      <w:tr>
        <w:trPr>
          <w:trHeight w:val="58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>
        <w:trPr>
          <w:trHeight w:val="369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9</w:t>
            </w:r>
          </w:p>
        </w:tc>
      </w:tr>
      <w:tr>
        <w:trPr>
          <w:trHeight w:val="58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7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7" w:after="160"/>
              <w:ind w:left="95" w:righ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kwotę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poszczególnych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pozycji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przychodów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lub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kosztów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nadzwyczajnej</w:t>
            </w:r>
            <w:r>
              <w:rPr>
                <w:rFonts w:cs="Times New Roman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wartości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lub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które</w:t>
            </w:r>
            <w:r>
              <w:rPr>
                <w:rFonts w:cs="Times New Roman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wystąpiły incydentalnie</w:t>
            </w:r>
          </w:p>
        </w:tc>
      </w:tr>
      <w:tr>
        <w:trPr>
          <w:trHeight w:val="411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informacje wg. załącznika nr 10</w:t>
            </w:r>
          </w:p>
          <w:p>
            <w:pPr>
              <w:pStyle w:val="Normal"/>
              <w:widowControl w:val="false"/>
              <w:spacing w:before="0" w:after="160"/>
              <w:ind w:left="503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2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Nie dotyczy.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inne informacje</w:t>
            </w:r>
          </w:p>
        </w:tc>
      </w:tr>
      <w:tr>
        <w:trPr>
          <w:trHeight w:val="34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 tym: informacje o środkach zgromadzonych na rachunku VAT – Nie dotyczy.</w:t>
            </w:r>
          </w:p>
        </w:tc>
      </w:tr>
      <w:tr>
        <w:trPr>
          <w:trHeight w:val="583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46" w:after="160"/>
              <w:ind w:left="95" w:right="-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lineRule="auto" w:line="247" w:before="46" w:after="160"/>
              <w:ind w:left="95" w:right="4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Inne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informacje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niż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wymienione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powyżej,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jeżeli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mogłyby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istotny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sposób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wpłynąć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ocenę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sytuacji</w:t>
            </w:r>
            <w:r>
              <w:rPr>
                <w:rFonts w:cs="Times New Roman"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majątkowej i finansowej oraz wynik finansowy jednostki</w:t>
            </w:r>
          </w:p>
        </w:tc>
      </w:tr>
      <w:tr>
        <w:trPr>
          <w:trHeight w:val="1995" w:hRule="exact"/>
        </w:trPr>
        <w:tc>
          <w:tcPr>
            <w:tcW w:w="673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>
            <w:pPr>
              <w:pStyle w:val="Default"/>
              <w:widowControl w:val="false"/>
              <w:numPr>
                <w:ilvl w:val="0"/>
                <w:numId w:val="3"/>
              </w:numPr>
              <w:ind w:left="361" w:right="0" w:hanging="28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0"/>
                <w:szCs w:val="20"/>
              </w:rPr>
              <w:t>informacje o znaczących zdarzeniach, dotyczących lat ubiegłych, ujętych w sprawozdaniu finansowym roku obrotowego,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361" w:right="0" w:hanging="28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0"/>
                <w:szCs w:val="20"/>
              </w:rPr>
              <w:t>informacje o znaczących zdarzeniach, jakie nastąpiły po dniu bilansowym, a nieuwzględnionych w sprawozdaniu finansowym,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361" w:right="0" w:hanging="28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0"/>
                <w:szCs w:val="20"/>
              </w:rPr>
              <w:t>zmiany w polityce rachunkowości,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361" w:right="0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wartość aktywów i pasywów dot. Państwowych Funduszy Celowych (np. PFRON, Fundusz Pracy),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ind w:left="361" w:right="0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nie wystąpiły inne zadania mający wpływ na ocenę sytuacji majątkowej i finansowej GOPS za 2021 rok.</w:t>
            </w:r>
          </w:p>
          <w:p>
            <w:pPr>
              <w:pStyle w:val="Default"/>
              <w:widowControl w:val="false"/>
              <w:ind w:left="78" w:right="0" w:hang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31"/>
        <w:gridCol w:w="5285"/>
        <w:gridCol w:w="2571"/>
      </w:tblGrid>
      <w:tr>
        <w:trPr>
          <w:trHeight w:val="264" w:hRule="atLeast"/>
        </w:trPr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2022-03-25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tbl>
      <w:tblPr>
        <w:tblW w:w="11721" w:type="dxa"/>
        <w:jc w:val="left"/>
        <w:tblInd w:w="-2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0"/>
        <w:gridCol w:w="2088"/>
        <w:gridCol w:w="6107"/>
        <w:gridCol w:w="1272"/>
        <w:gridCol w:w="1774"/>
      </w:tblGrid>
      <w:tr>
        <w:trPr>
          <w:trHeight w:val="405" w:hRule="atLeast"/>
        </w:trPr>
        <w:tc>
          <w:tcPr>
            <w:tcW w:w="256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%2525252525253AD28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1</w:t>
            </w:r>
            <w:bookmarkEnd w:id="0"/>
          </w:p>
        </w:tc>
        <w:tc>
          <w:tcPr>
            <w:tcW w:w="61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867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Pkt.I.4. Informacji dodatkowej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994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Przyjęte zasady (polityki) rachunkowości, w tym metody wyceny aktywów i pasywów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8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08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1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9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Metody wyceny aktywów i pasywów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64" w:hRule="atLeast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07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2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713" w:hRule="atLeast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6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  <w:br/>
              <w:t>zmniejszonych o odpisy amortyzacyjne lub umorzeniowe, a także odpisy z tytułu trwałej utraty wartości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82" w:hRule="atLeast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kosztów wytworzenia</w:t>
              <w:br/>
              <w:t>zmniejszonych o odpisy amortyzacyjne lub umorzeniowe, a także odpisy z tytułu trwałej utraty wartości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825" w:hRule="atLeast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  <w:br/>
              <w:t>zmniejszonych o odpisy amortyzacyjne lub umorzeniowe, a także odpisy z tytułu trwałej utraty wartości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19" w:hRule="atLeast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Środki trwałe</w:t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  <w:br/>
              <w:t>zmniejszonych o odpisy amortyzacyjne lub umorzeniowe, a także odpisy z tytułu trwałej utraty wartości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30" w:hRule="atLeast"/>
        </w:trPr>
        <w:tc>
          <w:tcPr>
            <w:tcW w:w="4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kosztów wytworzenia</w:t>
              <w:br/>
              <w:t>zmniejszonych o odpisy amortyzacyjne lub umorzeniowe, a także odpisy z tytułu trwałej utraty wartości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945" w:hRule="atLeast"/>
        </w:trPr>
        <w:tc>
          <w:tcPr>
            <w:tcW w:w="4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  <w:br/>
              <w:t>zmniejszonych o odpisy amortyzacyjne lub umorzeniowe, a także odpisy z tytułu trwałej utraty wartości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68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Środki trwałe w budowie (inwestycje)</w:t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 wysokości ogółu kosztów pozostających w bezpośrednim związku z ich nabyciem lub wytworzeniem, pomniejszonych o odpisy z tytułu trwałej utraty wartości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94" w:hRule="atLeast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Udziały w innych jednostkach oraz inne inwestycje zaliczone do aktywów trwałych</w:t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500" w:hRule="atLeast"/>
        </w:trPr>
        <w:tc>
          <w:tcPr>
            <w:tcW w:w="4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Udziały w jednostkach podporządkowanych zaliczone do aktywów trwałych</w:t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71" w:hRule="atLeast"/>
        </w:trPr>
        <w:tc>
          <w:tcPr>
            <w:tcW w:w="4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80" w:hRule="atLeast"/>
        </w:trPr>
        <w:tc>
          <w:tcPr>
            <w:tcW w:w="4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metodą praw własności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26" w:hRule="atLeast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Inwestycje krótkoterminowe</w:t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według ceny (wartości) rynkowej  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72" w:hRule="atLeast"/>
        </w:trPr>
        <w:tc>
          <w:tcPr>
            <w:tcW w:w="4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ceny nabycia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255" w:hRule="atLeast"/>
        </w:trPr>
        <w:tc>
          <w:tcPr>
            <w:tcW w:w="4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ceny (wartości) rynkowej, zależnie od tego, która z nich jest niższa albo według skorygowanej ceny nabycia, jeżeli dla danego składnika aktywów został określony termin wymagalności, a krótkoterminowe inwestycje, dla których nie istnieje aktywny rynek, w inny sposób określonej wartości godziwej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22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Rzeczowe składniki aktywów obrotowych</w:t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cen nabycia lub kosztów wytworzenia nie wyższych od cen ich sprzedaży netto na dzień bilansowy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Należności i udzielone pożyczki</w:t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 kwocie wymaganej zapłaty, z zachowaniem zasady ostrożności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525" w:hRule="atLeast"/>
        </w:trPr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 kwocie wymagającej zapłaty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94" w:hRule="atLeast"/>
        </w:trPr>
        <w:tc>
          <w:tcPr>
            <w:tcW w:w="4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przy czym zobowiązania finansowe</w:t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skorygowanej ceny nabycia, a jeżeli jednostka przeznacza je do sprzedaży w okresie do 3 miesięcy, to według wartości rynkowej lub inaczej określonej wartości godziwej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51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Rezerwy</w:t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 uzasadnionej, wiarygodnie oszacowanej wartości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84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Udziały (akcje) własne</w:t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według cen nabycia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Kapitały (fundusze) własne oraz pozostałe aktywa i pasywa</w:t>
            </w:r>
          </w:p>
        </w:tc>
        <w:tc>
          <w:tcPr>
            <w:tcW w:w="61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 wartości nominalnej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64" w:hRule="atLeast"/>
        </w:trPr>
        <w:tc>
          <w:tcPr>
            <w:tcW w:w="48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08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1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31"/>
        <w:gridCol w:w="5285"/>
        <w:gridCol w:w="2571"/>
      </w:tblGrid>
      <w:tr>
        <w:trPr>
          <w:trHeight w:val="264" w:hRule="atLeast"/>
        </w:trPr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2022-03-25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855" w:type="dxa"/>
        <w:jc w:val="left"/>
        <w:tblInd w:w="-54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9"/>
        <w:gridCol w:w="1332"/>
        <w:gridCol w:w="839"/>
        <w:gridCol w:w="1105"/>
        <w:gridCol w:w="952"/>
        <w:gridCol w:w="839"/>
        <w:gridCol w:w="888"/>
        <w:gridCol w:w="905"/>
        <w:gridCol w:w="808"/>
        <w:gridCol w:w="966"/>
        <w:gridCol w:w="840"/>
        <w:gridCol w:w="841"/>
      </w:tblGrid>
      <w:tr>
        <w:trPr>
          <w:trHeight w:val="405" w:hRule="atLeast"/>
        </w:trPr>
        <w:tc>
          <w:tcPr>
            <w:tcW w:w="187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Załącznik nr 2</w:t>
            </w:r>
          </w:p>
        </w:tc>
        <w:tc>
          <w:tcPr>
            <w:tcW w:w="8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5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8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381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Pkt.II.1.1. Informacji dodatkowej</w:t>
            </w:r>
          </w:p>
        </w:tc>
        <w:tc>
          <w:tcPr>
            <w:tcW w:w="95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8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-1069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381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Główne składniki aktywów trwałych</w:t>
            </w:r>
          </w:p>
        </w:tc>
        <w:tc>
          <w:tcPr>
            <w:tcW w:w="95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8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exact"/>
        </w:trPr>
        <w:tc>
          <w:tcPr>
            <w:tcW w:w="5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3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0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5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3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8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6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615" w:hRule="atLeast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grupy rodzajowej składnika aktywów 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- stan na początek roku obrotowego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Ogółem zwiększenie wartości (aktualizacja, przychody, przemieszczenie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Ogółem zmniejszenie wartości</w:t>
              <w:br/>
              <w:t>(aktualizacja, zbycie, likwidacja, inne)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- stan na koniec roku obrotowego</w:t>
              <w:br/>
              <w:t>(3+4-5)</w:t>
            </w:r>
          </w:p>
        </w:tc>
        <w:tc>
          <w:tcPr>
            <w:tcW w:w="35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Umorzenia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 składników aktywów</w:t>
            </w:r>
          </w:p>
        </w:tc>
      </w:tr>
      <w:tr>
        <w:trPr>
          <w:trHeight w:val="1425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9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Umorzenie - stan na początek roku obrotowego</w:t>
            </w:r>
          </w:p>
        </w:tc>
        <w:tc>
          <w:tcPr>
            <w:tcW w:w="905" w:type="dxa"/>
            <w:tcBorders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Zwiększenie umorzenia (aktualizacja, amortyzacja za rok obrotowy)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Zmniejszenie umorzenia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Umorzenie - stan na koniec roku obrotowego</w:t>
              <w:br/>
              <w:t>(7+8-9)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stan na początek roku obrotowego</w:t>
              <w:br/>
              <w:t>(3-7)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stan na koniec roku obrotowego</w:t>
              <w:br/>
              <w:t>(6-10)</w:t>
            </w:r>
          </w:p>
        </w:tc>
      </w:tr>
      <w:tr>
        <w:trPr>
          <w:trHeight w:val="204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8 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  <w:t>Wartości niematerialne i prawne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  <w:lang w:eastAsia="pl-PL"/>
              </w:rPr>
              <w:t>Środki trwałe: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Grupa 0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Grunty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>
        <w:trPr>
          <w:trHeight w:val="58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Grupa 1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 xml:space="preserve">Budynki i lokale 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Grupa 2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Obiekty inżynierii lądowej i wodnej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Grupa 3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Kotły i maszyny energetyczne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>
        <w:trPr>
          <w:trHeight w:val="67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Grupa 4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Maszyny, urządzenia i aparaty ogólnego zastosowania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Grupa 5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Maszyny, urządzenia i aparaty specjalistyczne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Grupa 6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Urządzenia techniczne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Grupa 7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>
        <w:trPr>
          <w:trHeight w:val="58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Grupa 8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Inne środki trwałe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Grupa 9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Inwentarz żywy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Pozostałe wyposażenie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44015,27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2091,00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46106,27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44015,27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2091,00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46106,27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</w:tbl>
    <w:p>
      <w:pPr>
        <w:pStyle w:val="Normal"/>
        <w:spacing w:lineRule="auto" w:line="360" w:before="0" w:after="160"/>
        <w:ind w:left="-284" w:righ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1"/>
        <w:gridCol w:w="314"/>
        <w:gridCol w:w="1122"/>
        <w:gridCol w:w="974"/>
        <w:gridCol w:w="94"/>
        <w:gridCol w:w="1273"/>
        <w:gridCol w:w="1342"/>
        <w:gridCol w:w="1482"/>
        <w:gridCol w:w="1099"/>
        <w:gridCol w:w="31"/>
        <w:gridCol w:w="109"/>
        <w:gridCol w:w="1828"/>
        <w:gridCol w:w="596"/>
      </w:tblGrid>
      <w:tr>
        <w:trPr>
          <w:trHeight w:val="264" w:hRule="atLeast"/>
        </w:trPr>
        <w:tc>
          <w:tcPr>
            <w:tcW w:w="253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90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2022-03-25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90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  <w:tr>
        <w:trPr>
          <w:trHeight w:val="405" w:hRule="atLeast"/>
        </w:trPr>
        <w:tc>
          <w:tcPr>
            <w:tcW w:w="155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234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3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8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3898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Pkt.II.1.5. Informacji dodatkowej</w:t>
            </w:r>
          </w:p>
        </w:tc>
        <w:tc>
          <w:tcPr>
            <w:tcW w:w="13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5240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nieamortyzowane i nieumarzane *</w:t>
            </w:r>
          </w:p>
        </w:tc>
        <w:tc>
          <w:tcPr>
            <w:tcW w:w="148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4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8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3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Grupa według KŚT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27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w trakcie roku obrotowego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  <w:br/>
              <w:t>(3+4-5)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4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46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0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Grunty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04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Budynki i lokale oraz spółdzielcze prawo do lokalu użytkowego i spółdzielcze własnościowe prawo do lokalu mieszkalnego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Obiekty inżynierii lądowej i wodnej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Kotły i maszyny energetyczne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Maszyny, urządzenia i aparaty ogólnego zastosowania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5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Maszyny, urządzenia i aparaty specjalistyczne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6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Urządzenia techniczne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7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8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Narzędzia, przyrządy, ruchomości i wyposażenie, gdzie indziej niesklasyfikowane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Grupa 9</w:t>
            </w:r>
          </w:p>
        </w:tc>
        <w:tc>
          <w:tcPr>
            <w:tcW w:w="23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Inwentarz żywy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1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50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227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53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64" w:hRule="atLeast"/>
        </w:trPr>
        <w:tc>
          <w:tcPr>
            <w:tcW w:w="1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50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227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53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64" w:hRule="atLeast"/>
        </w:trPr>
        <w:tc>
          <w:tcPr>
            <w:tcW w:w="253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90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2022-03-25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90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tbl>
      <w:tblPr>
        <w:tblW w:w="10000" w:type="dxa"/>
        <w:jc w:val="left"/>
        <w:tblInd w:w="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"/>
        <w:gridCol w:w="3260"/>
        <w:gridCol w:w="1965"/>
        <w:gridCol w:w="1460"/>
        <w:gridCol w:w="1600"/>
        <w:gridCol w:w="1254"/>
      </w:tblGrid>
      <w:tr>
        <w:trPr>
          <w:trHeight w:val="405" w:hRule="atLeast"/>
        </w:trPr>
        <w:tc>
          <w:tcPr>
            <w:tcW w:w="372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196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372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Pkt.II.1.7. Informacji dodatkowej</w:t>
            </w:r>
          </w:p>
        </w:tc>
        <w:tc>
          <w:tcPr>
            <w:tcW w:w="196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568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odpisów aktualizujących wartość należności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96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795" w:hRule="atLeast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Grupa należności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odpisów w ciągu roku obrotowego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>
        <w:trPr>
          <w:trHeight w:val="675" w:hRule="atLeast"/>
        </w:trPr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zwiększenia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zmniejszenia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ogółem, w tym:</w:t>
            </w:r>
          </w:p>
        </w:tc>
        <w:tc>
          <w:tcPr>
            <w:tcW w:w="19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816801,45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268534,11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212945,09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872390,47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budżetowe ogółem w tym:</w:t>
            </w:r>
          </w:p>
        </w:tc>
        <w:tc>
          <w:tcPr>
            <w:tcW w:w="19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816801,45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268534,11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212945,09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872390,47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należności główne - </w:t>
            </w:r>
            <w:r>
              <w:fldChar w:fldCharType="begin"/>
            </w:r>
            <w:r>
              <w:rPr>
                <w:sz w:val="20"/>
                <w:szCs w:val="20"/>
                <w:rFonts w:eastAsia="Times New Roman" w:cs="Times New Roman" w:ascii="Times New Roman" w:hAnsi="Times New Roman"/>
                <w:color w:val="000000"/>
                <w:lang w:eastAsia="pl-PL"/>
              </w:rPr>
              <w:instrText>LISTNUM</w:instrTex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sz w:val="20"/>
                <w:szCs w:val="20"/>
                <w:rFonts w:eastAsia="Times New Roman" w:cs="Times New Roman" w:ascii="Times New Roman" w:hAnsi="Times New Roman"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  <w:r>
              <w:rPr>
                <w:sz w:val="20"/>
                <w:szCs w:val="20"/>
                <w:rFonts w:eastAsia="Times New Roman" w:cs="Times New Roman" w:ascii="Times New Roman" w:hAnsi="Times New Roman"/>
                <w:color w:val="000000"/>
                <w:lang w:eastAsia="pl-PL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wątpliwe</w:t>
            </w:r>
          </w:p>
        </w:tc>
        <w:tc>
          <w:tcPr>
            <w:tcW w:w="19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609083,94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38816,64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5227,58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642673,00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19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207717,51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229717,47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207717,51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229717,47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973"/>
        <w:gridCol w:w="2971"/>
        <w:gridCol w:w="1443"/>
      </w:tblGrid>
      <w:tr>
        <w:trPr>
          <w:trHeight w:val="264" w:hRule="atLeast"/>
        </w:trPr>
        <w:tc>
          <w:tcPr>
            <w:tcW w:w="5973" w:type="dxa"/>
            <w:tcBorders/>
            <w:vAlign w:val="center"/>
          </w:tcPr>
          <w:tbl>
            <w:tblPr>
              <w:tblW w:w="10387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531"/>
              <w:gridCol w:w="5285"/>
              <w:gridCol w:w="2571"/>
            </w:tblGrid>
            <w:tr>
              <w:trPr>
                <w:trHeight w:val="264" w:hRule="atLeast"/>
              </w:trPr>
              <w:tc>
                <w:tcPr>
                  <w:tcW w:w="25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528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2022-03-25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57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25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………………………………         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64" w:hRule="atLeast"/>
        </w:trPr>
        <w:tc>
          <w:tcPr>
            <w:tcW w:w="59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73" w:type="dxa"/>
        <w:jc w:val="left"/>
        <w:tblInd w:w="5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"/>
        <w:gridCol w:w="2072"/>
        <w:gridCol w:w="1276"/>
        <w:gridCol w:w="987"/>
        <w:gridCol w:w="1412"/>
        <w:gridCol w:w="1414"/>
        <w:gridCol w:w="986"/>
        <w:gridCol w:w="1264"/>
      </w:tblGrid>
      <w:tr>
        <w:trPr>
          <w:trHeight w:val="405" w:hRule="atLeast"/>
        </w:trPr>
        <w:tc>
          <w:tcPr>
            <w:tcW w:w="253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380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Pkt.II.1.9. Informacji dodatkowej</w:t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479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według okresów wymagalności</w:t>
            </w:r>
          </w:p>
        </w:tc>
        <w:tc>
          <w:tcPr>
            <w:tcW w:w="14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0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wobec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479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Okres wymagalności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  <w:br/>
              <w:t>(4+5+6+7)</w:t>
            </w:r>
          </w:p>
        </w:tc>
      </w:tr>
      <w:tr>
        <w:trPr>
          <w:trHeight w:val="615" w:hRule="atLeast"/>
        </w:trPr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0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98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  <w:br/>
              <w:t>1 roku do 3 lat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  <w:br/>
              <w:t>3 lat do 5 lat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powyżej 5 lat</w:t>
            </w:r>
          </w:p>
        </w:tc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Zobowiązania długoterminowe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Zobowiązania z tytułu dostaw i usług z tytułu dostaw i usług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Zobowiązania wobec budżetów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Zobowiązania z tytułu ubezpieczeń i innych świadczeń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Zobowiązania z tytułu wynagrodzeń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Pozostałe zobowiązania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Sumy obce (depozytowe, zabezpieczenie wykonania umów)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88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Rozliczenia z tytułu środków na wydatki budżetowe i z tytułu dochodów budżetowych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31"/>
        <w:gridCol w:w="5285"/>
        <w:gridCol w:w="2571"/>
      </w:tblGrid>
      <w:tr>
        <w:trPr>
          <w:trHeight w:val="264" w:hRule="atLeast"/>
        </w:trPr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2022-03-25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160" w:type="dxa"/>
        <w:jc w:val="left"/>
        <w:tblInd w:w="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8"/>
        <w:gridCol w:w="4700"/>
        <w:gridCol w:w="2140"/>
        <w:gridCol w:w="1861"/>
      </w:tblGrid>
      <w:tr>
        <w:trPr>
          <w:trHeight w:val="405" w:hRule="atLeast"/>
        </w:trPr>
        <w:tc>
          <w:tcPr>
            <w:tcW w:w="515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6</w:t>
            </w:r>
          </w:p>
        </w:tc>
        <w:tc>
          <w:tcPr>
            <w:tcW w:w="21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515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Pkt.II.1.13. Informacji dodatkowej</w:t>
            </w:r>
          </w:p>
        </w:tc>
        <w:tc>
          <w:tcPr>
            <w:tcW w:w="21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515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Istotne pozycje rozliczeń międzyokresowych</w:t>
            </w:r>
          </w:p>
        </w:tc>
        <w:tc>
          <w:tcPr>
            <w:tcW w:w="21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5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795" w:hRule="atLeast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(tytuły)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>
        <w:trPr>
          <w:trHeight w:val="675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876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Ogółem czynne rozliczenia międzyokresowe kosztów, w tym: wyszczególnić ważniejsze tytuły figurujące w księgach rachunkowych, np.: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koszty uruchomienia nowej produkcji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opłacone z góry czynsze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prenumeraty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polisy ubezpieczenia osób i składników majątku)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inne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Ogółem rozliczenia międzyokresowe przychodów, w tym: wyszczególnić ważniejsze tytuły figurujące w księgach rachunkowych, np.: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ujemna wartość firmy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wielkość dotacji na budowę środków trwałych, na prace rozwojowe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wartość nieodpłatnie otrzymanych środków trwałych)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 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inne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31"/>
        <w:gridCol w:w="5285"/>
        <w:gridCol w:w="2571"/>
      </w:tblGrid>
      <w:tr>
        <w:trPr>
          <w:trHeight w:val="264" w:hRule="atLeast"/>
        </w:trPr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2022-03-25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212" w:type="dxa"/>
        <w:jc w:val="left"/>
        <w:tblInd w:w="1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9"/>
        <w:gridCol w:w="5621"/>
        <w:gridCol w:w="2132"/>
      </w:tblGrid>
      <w:tr>
        <w:trPr>
          <w:trHeight w:val="405" w:hRule="atLeast"/>
        </w:trPr>
        <w:tc>
          <w:tcPr>
            <w:tcW w:w="608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7</w:t>
            </w:r>
          </w:p>
        </w:tc>
        <w:tc>
          <w:tcPr>
            <w:tcW w:w="213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608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Pkt.II.1.15. Informacji dodatkowej</w:t>
            </w:r>
          </w:p>
        </w:tc>
        <w:tc>
          <w:tcPr>
            <w:tcW w:w="213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608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Wypłacone świadczenia pracownicze</w:t>
            </w:r>
          </w:p>
        </w:tc>
        <w:tc>
          <w:tcPr>
            <w:tcW w:w="213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56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3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Kwota wypłaconych środków pieniężnych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pracownicze: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283461,94</w:t>
            </w:r>
          </w:p>
        </w:tc>
      </w:tr>
      <w:tr>
        <w:trPr>
          <w:trHeight w:val="891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 tytułu wynagrodzeń z osobami fizycznymi zatrudnionymi na podstawie umowy o pracę, umowy zlecenia, umowy o dzieło, umowy agencyjnej i innych umów  zgodnie z odrębnymi przepisami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200601,96</w:t>
            </w:r>
          </w:p>
        </w:tc>
      </w:tr>
      <w:tr>
        <w:trPr>
          <w:trHeight w:val="1089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 tytułu ubezpieczeń społecznych i innych świadczeń na rzecz pracowników i osób fizycznych zatrudnionych na podstawie umowy o pracę, umowy zlecenia, umowy o dzieło, umowy agencyjnej i innych umów, które nie są zaliczane do wynagrodzeń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50692,01</w:t>
            </w:r>
          </w:p>
        </w:tc>
      </w:tr>
      <w:tr>
        <w:trPr>
          <w:trHeight w:val="566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15426,97</w:t>
            </w:r>
          </w:p>
        </w:tc>
      </w:tr>
      <w:tr>
        <w:trPr>
          <w:trHeight w:val="418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wyrównanie roczne nauczycieli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977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pozostałe (w tym premie, nagrody jubileuszowe i inne, odprawy w związku z przejściem na emeryturę lub rentę z tytułu niezdolności do pracy, odprawa pieniężna w związku z rozwiązaniem stosunku pracy, świadczenia niepieniężne, itp.)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16741,00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973"/>
        <w:gridCol w:w="2971"/>
        <w:gridCol w:w="1443"/>
      </w:tblGrid>
      <w:tr>
        <w:trPr>
          <w:trHeight w:val="264" w:hRule="atLeast"/>
        </w:trPr>
        <w:tc>
          <w:tcPr>
            <w:tcW w:w="59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tbl>
            <w:tblPr>
              <w:tblW w:w="10387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531"/>
              <w:gridCol w:w="5285"/>
              <w:gridCol w:w="2571"/>
            </w:tblGrid>
            <w:tr>
              <w:trPr>
                <w:trHeight w:val="264" w:hRule="atLeast"/>
              </w:trPr>
              <w:tc>
                <w:tcPr>
                  <w:tcW w:w="25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528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2022-03-25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57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25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0"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64" w:hRule="atLeast"/>
        </w:trPr>
        <w:tc>
          <w:tcPr>
            <w:tcW w:w="59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340" w:type="dxa"/>
        <w:jc w:val="left"/>
        <w:tblInd w:w="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"/>
        <w:gridCol w:w="1940"/>
        <w:gridCol w:w="1478"/>
        <w:gridCol w:w="1583"/>
        <w:gridCol w:w="1537"/>
        <w:gridCol w:w="1341"/>
      </w:tblGrid>
      <w:tr>
        <w:trPr>
          <w:trHeight w:val="405" w:hRule="atLeast"/>
        </w:trPr>
        <w:tc>
          <w:tcPr>
            <w:tcW w:w="240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8</w:t>
            </w:r>
          </w:p>
        </w:tc>
        <w:tc>
          <w:tcPr>
            <w:tcW w:w="14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8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387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Pkt.II.2.1. Informacji dodatkowej</w:t>
            </w:r>
          </w:p>
        </w:tc>
        <w:tc>
          <w:tcPr>
            <w:tcW w:w="158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5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6998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 odpisów aktualizujących wartość zapasów</w:t>
            </w:r>
          </w:p>
        </w:tc>
        <w:tc>
          <w:tcPr>
            <w:tcW w:w="13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9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8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(rodzaj zapasów)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>
        <w:trPr>
          <w:trHeight w:val="24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973"/>
        <w:gridCol w:w="2971"/>
        <w:gridCol w:w="1443"/>
      </w:tblGrid>
      <w:tr>
        <w:trPr>
          <w:trHeight w:val="264" w:hRule="atLeast"/>
        </w:trPr>
        <w:tc>
          <w:tcPr>
            <w:tcW w:w="5973" w:type="dxa"/>
            <w:tcBorders/>
            <w:vAlign w:val="center"/>
          </w:tcPr>
          <w:tbl>
            <w:tblPr>
              <w:tblW w:w="10387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531"/>
              <w:gridCol w:w="5285"/>
              <w:gridCol w:w="2571"/>
            </w:tblGrid>
            <w:tr>
              <w:trPr>
                <w:trHeight w:val="264" w:hRule="atLeast"/>
              </w:trPr>
              <w:tc>
                <w:tcPr>
                  <w:tcW w:w="25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528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2022-03-25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57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25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0"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64" w:hRule="atLeast"/>
        </w:trPr>
        <w:tc>
          <w:tcPr>
            <w:tcW w:w="59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637" w:type="dxa"/>
        <w:jc w:val="left"/>
        <w:tblInd w:w="2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"/>
        <w:gridCol w:w="6326"/>
        <w:gridCol w:w="1851"/>
      </w:tblGrid>
      <w:tr>
        <w:trPr>
          <w:trHeight w:val="405" w:hRule="atLeast"/>
        </w:trPr>
        <w:tc>
          <w:tcPr>
            <w:tcW w:w="678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9</w:t>
            </w:r>
          </w:p>
        </w:tc>
        <w:tc>
          <w:tcPr>
            <w:tcW w:w="18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678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Pkt.II.2.2. Informacji dodatkowej</w:t>
            </w:r>
          </w:p>
        </w:tc>
        <w:tc>
          <w:tcPr>
            <w:tcW w:w="18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678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w budowie</w:t>
            </w:r>
          </w:p>
        </w:tc>
        <w:tc>
          <w:tcPr>
            <w:tcW w:w="18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exact"/>
        </w:trPr>
        <w:tc>
          <w:tcPr>
            <w:tcW w:w="4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3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>
        <w:trPr>
          <w:trHeight w:val="24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Koszt wytworzenia środków trwałych w budowie </w:t>
            </w:r>
          </w:p>
        </w:tc>
        <w:tc>
          <w:tcPr>
            <w:tcW w:w="1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3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 tym odsetki oraz różnice kursowe, które powiększyły koszt wytworzenia środków trwałych w budowie</w:t>
            </w:r>
          </w:p>
        </w:tc>
        <w:tc>
          <w:tcPr>
            <w:tcW w:w="1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31"/>
        <w:gridCol w:w="5285"/>
        <w:gridCol w:w="2571"/>
      </w:tblGrid>
      <w:tr>
        <w:trPr>
          <w:trHeight w:val="264" w:hRule="atLeast"/>
        </w:trPr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2022-03-25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>
        <w:trPr>
          <w:trHeight w:val="264" w:hRule="atLeast"/>
        </w:trPr>
        <w:tc>
          <w:tcPr>
            <w:tcW w:w="25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/>
      </w:pPr>
      <w:r>
        <w:rPr/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88" w:type="dxa"/>
        <w:jc w:val="left"/>
        <w:tblInd w:w="2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4"/>
        <w:gridCol w:w="4261"/>
        <w:gridCol w:w="2278"/>
        <w:gridCol w:w="2414"/>
      </w:tblGrid>
      <w:tr>
        <w:trPr>
          <w:trHeight w:val="405" w:hRule="atLeast"/>
        </w:trPr>
        <w:tc>
          <w:tcPr>
            <w:tcW w:w="479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10</w:t>
            </w:r>
          </w:p>
        </w:tc>
        <w:tc>
          <w:tcPr>
            <w:tcW w:w="22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479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Pkt.II.2.3. Informacji dodatkowej</w:t>
            </w:r>
          </w:p>
        </w:tc>
        <w:tc>
          <w:tcPr>
            <w:tcW w:w="22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948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i koszty o nadzwyczajnej wartości lub które wystąpiły incydentalnie</w:t>
            </w:r>
          </w:p>
        </w:tc>
      </w:tr>
      <w:tr>
        <w:trPr>
          <w:trHeight w:val="276" w:hRule="exact"/>
        </w:trPr>
        <w:tc>
          <w:tcPr>
            <w:tcW w:w="5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41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Poprzedni rok obrotowy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Bieżący rok obrotowy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Przychody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 nadzwyczajnej wartości, w tym: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które wystąpiły incydentalnie, w tym: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Koszty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 nadzwyczajnej wartości, w tym: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które wystąpiły incydentalnie, w tym: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87" w:type="dxa"/>
        <w:jc w:val="left"/>
        <w:tblInd w:w="-12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945"/>
        <w:gridCol w:w="2982"/>
        <w:gridCol w:w="1460"/>
      </w:tblGrid>
      <w:tr>
        <w:trPr>
          <w:trHeight w:val="2496" w:hRule="atLeast"/>
        </w:trPr>
        <w:tc>
          <w:tcPr>
            <w:tcW w:w="59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tbl>
            <w:tblPr>
              <w:tblW w:w="10387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531"/>
              <w:gridCol w:w="5285"/>
              <w:gridCol w:w="2571"/>
            </w:tblGrid>
            <w:tr>
              <w:trPr>
                <w:trHeight w:val="792" w:hRule="atLeast"/>
              </w:trPr>
              <w:tc>
                <w:tcPr>
                  <w:tcW w:w="25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528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2022-03-25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257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253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0" w:after="16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8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08" w:hRule="atLeast"/>
        </w:trPr>
        <w:tc>
          <w:tcPr>
            <w:tcW w:w="59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8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  <w:tc>
          <w:tcPr>
            <w:tcW w:w="14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993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ato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8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9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5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1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8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ato" w:hAnsi="Lato" w:eastAsia="Times New Roman" w:cs="Lato"/>
      <w:color w:val="000000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LibreOffice/7.2.0.4$Windows_X86_64 LibreOffice_project/9a9c6381e3f7a62afc1329bd359cc48accb6435b</Application>
  <AppVersion>15.0000</AppVersion>
  <Pages>16</Pages>
  <Words>2907</Words>
  <Characters>18698</Characters>
  <CharactersWithSpaces>21416</CharactersWithSpaces>
  <Paragraphs>894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2019-04-23T07:27:00Z</dcterms:created>
  <dc:creator>Administrator</dc:creator>
  <dc:description/>
  <dc:language>pl-PL</dc:language>
  <cp:lastModifiedBy/>
  <cp:lastPrinted>2022-05-16T14:59:55Z</cp:lastPrinted>
  <dcterms:modified xsi:type="dcterms:W3CDTF">2022-05-17T09:57:15Z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